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A6" w:rsidRPr="00CD138C" w:rsidRDefault="001465A6" w:rsidP="001465A6">
      <w:pPr>
        <w:jc w:val="center"/>
        <w:rPr>
          <w:rFonts w:cs="Simplified Arabic" w:hint="cs"/>
          <w:b/>
          <w:bCs/>
          <w:sz w:val="36"/>
          <w:szCs w:val="36"/>
          <w:rtl/>
          <w:lang w:bidi="ar-SA"/>
        </w:rPr>
      </w:pPr>
      <w:r w:rsidRPr="00CD138C">
        <w:rPr>
          <w:rFonts w:cs="Simplified Arabic" w:hint="cs"/>
          <w:b/>
          <w:bCs/>
          <w:sz w:val="36"/>
          <w:szCs w:val="36"/>
          <w:rtl/>
          <w:lang w:bidi="ar-SA"/>
        </w:rPr>
        <w:t>البحث الثانى</w:t>
      </w:r>
    </w:p>
    <w:p w:rsidR="001465A6" w:rsidRPr="00F36924" w:rsidRDefault="001465A6" w:rsidP="001465A6">
      <w:pPr>
        <w:spacing w:line="204" w:lineRule="auto"/>
        <w:ind w:right="4860"/>
        <w:jc w:val="center"/>
        <w:rPr>
          <w:rFonts w:hint="cs"/>
          <w:b/>
          <w:bCs/>
          <w:rtl/>
        </w:rPr>
      </w:pPr>
      <w:r w:rsidRPr="00F36924">
        <w:rPr>
          <w:rFonts w:hint="cs"/>
          <w:b/>
          <w:bCs/>
          <w:rtl/>
        </w:rPr>
        <w:t>جامعة بنها</w:t>
      </w:r>
    </w:p>
    <w:p w:rsidR="001465A6" w:rsidRPr="00F36924" w:rsidRDefault="001465A6" w:rsidP="001465A6">
      <w:pPr>
        <w:spacing w:line="204" w:lineRule="auto"/>
        <w:ind w:right="4860"/>
        <w:jc w:val="center"/>
        <w:rPr>
          <w:rFonts w:hint="cs"/>
          <w:b/>
          <w:bCs/>
          <w:rtl/>
        </w:rPr>
      </w:pPr>
      <w:r w:rsidRPr="00F36924">
        <w:rPr>
          <w:rFonts w:hint="cs"/>
          <w:b/>
          <w:bCs/>
          <w:rtl/>
        </w:rPr>
        <w:t>كلية التربية النوعية</w:t>
      </w:r>
    </w:p>
    <w:p w:rsidR="001465A6" w:rsidRPr="00F36924" w:rsidRDefault="001465A6" w:rsidP="001465A6">
      <w:pPr>
        <w:spacing w:line="204" w:lineRule="auto"/>
        <w:ind w:right="4860"/>
        <w:jc w:val="center"/>
        <w:rPr>
          <w:rFonts w:hint="cs"/>
          <w:b/>
          <w:bCs/>
          <w:rtl/>
        </w:rPr>
      </w:pPr>
      <w:r w:rsidRPr="00F36924">
        <w:rPr>
          <w:rFonts w:hint="cs"/>
          <w:b/>
          <w:bCs/>
          <w:rtl/>
        </w:rPr>
        <w:t>قسم الإعلام التربوي</w:t>
      </w:r>
    </w:p>
    <w:p w:rsidR="001465A6" w:rsidRPr="00F36924" w:rsidRDefault="001465A6" w:rsidP="001465A6">
      <w:pPr>
        <w:spacing w:line="204" w:lineRule="auto"/>
        <w:jc w:val="center"/>
        <w:rPr>
          <w:b/>
          <w:bCs/>
          <w:sz w:val="30"/>
          <w:szCs w:val="30"/>
          <w:rtl/>
        </w:rPr>
      </w:pPr>
      <w:r w:rsidRPr="00F36924">
        <w:rPr>
          <w:rFonts w:hint="cs"/>
          <w:b/>
          <w:bCs/>
          <w:sz w:val="30"/>
          <w:szCs w:val="30"/>
          <w:rtl/>
        </w:rPr>
        <w:t>الشخصية الشريرة في المسرح المدرسي</w:t>
      </w:r>
    </w:p>
    <w:p w:rsidR="001465A6" w:rsidRPr="00F36924" w:rsidRDefault="001465A6" w:rsidP="001465A6">
      <w:pPr>
        <w:spacing w:line="204" w:lineRule="auto"/>
        <w:jc w:val="center"/>
        <w:rPr>
          <w:rFonts w:hint="cs"/>
          <w:b/>
          <w:bCs/>
          <w:sz w:val="22"/>
          <w:szCs w:val="22"/>
          <w:rtl/>
        </w:rPr>
      </w:pPr>
      <w:r w:rsidRPr="00D02F2F">
        <w:rPr>
          <w:rFonts w:hint="cs"/>
          <w:b/>
          <w:bCs/>
          <w:sz w:val="22"/>
          <w:szCs w:val="22"/>
          <w:rtl/>
        </w:rPr>
        <w:t>إعداد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D02F2F">
        <w:rPr>
          <w:rFonts w:hint="cs"/>
          <w:b/>
          <w:bCs/>
          <w:sz w:val="22"/>
          <w:szCs w:val="22"/>
          <w:rtl/>
        </w:rPr>
        <w:t>د/ أحمد السيد أحمد بخيت</w:t>
      </w:r>
      <w:r>
        <w:rPr>
          <w:rFonts w:hint="cs"/>
          <w:b/>
          <w:bCs/>
          <w:sz w:val="22"/>
          <w:szCs w:val="22"/>
          <w:rtl/>
        </w:rPr>
        <w:t xml:space="preserve"> </w:t>
      </w:r>
      <w:r w:rsidRPr="00D02F2F">
        <w:rPr>
          <w:rFonts w:hint="cs"/>
          <w:b/>
          <w:bCs/>
          <w:sz w:val="22"/>
          <w:szCs w:val="22"/>
          <w:rtl/>
        </w:rPr>
        <w:t>مدرس بقسم الإعلام التربوي</w:t>
      </w:r>
      <w:r>
        <w:rPr>
          <w:rFonts w:hint="cs"/>
          <w:b/>
          <w:bCs/>
          <w:sz w:val="22"/>
          <w:szCs w:val="22"/>
          <w:rtl/>
        </w:rPr>
        <w:t xml:space="preserve">  </w:t>
      </w:r>
      <w:r w:rsidRPr="00D02F2F">
        <w:rPr>
          <w:rFonts w:hint="cs"/>
          <w:b/>
          <w:bCs/>
          <w:sz w:val="22"/>
          <w:szCs w:val="22"/>
          <w:rtl/>
        </w:rPr>
        <w:t>كلية التربية النوعية</w:t>
      </w:r>
      <w:r>
        <w:rPr>
          <w:rFonts w:hint="cs"/>
          <w:b/>
          <w:bCs/>
          <w:sz w:val="22"/>
          <w:szCs w:val="22"/>
          <w:rtl/>
        </w:rPr>
        <w:t xml:space="preserve">  </w:t>
      </w:r>
      <w:r w:rsidRPr="00D02F2F">
        <w:rPr>
          <w:rFonts w:hint="cs"/>
          <w:b/>
          <w:bCs/>
          <w:sz w:val="22"/>
          <w:szCs w:val="22"/>
          <w:rtl/>
        </w:rPr>
        <w:t>جامعة بنها</w:t>
      </w:r>
    </w:p>
    <w:p w:rsidR="001465A6" w:rsidRDefault="001465A6" w:rsidP="001465A6">
      <w:pPr>
        <w:spacing w:line="204" w:lineRule="auto"/>
        <w:jc w:val="center"/>
        <w:rPr>
          <w:rFonts w:hint="cs"/>
          <w:b/>
          <w:bCs/>
          <w:sz w:val="28"/>
          <w:szCs w:val="28"/>
          <w:rtl/>
        </w:rPr>
      </w:pPr>
      <w:r w:rsidRPr="00A04607">
        <w:rPr>
          <w:rFonts w:hint="cs"/>
          <w:b/>
          <w:bCs/>
          <w:sz w:val="28"/>
          <w:szCs w:val="28"/>
          <w:rtl/>
        </w:rPr>
        <w:t>الملخص</w:t>
      </w:r>
    </w:p>
    <w:p w:rsidR="001465A6" w:rsidRDefault="001465A6" w:rsidP="001465A6">
      <w:pPr>
        <w:spacing w:line="204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مشكلة الدراسة</w:t>
      </w:r>
    </w:p>
    <w:p w:rsidR="001465A6" w:rsidRDefault="001465A6" w:rsidP="001465A6">
      <w:pPr>
        <w:spacing w:line="204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دوافع الشخصية الشريرة لإرتكاب السلوك الشرير </w:t>
      </w:r>
    </w:p>
    <w:p w:rsidR="001465A6" w:rsidRPr="00A04607" w:rsidRDefault="001465A6" w:rsidP="001465A6">
      <w:pPr>
        <w:spacing w:line="204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ما مدى تلازم السلوك الشرير بالعقاب  </w:t>
      </w:r>
    </w:p>
    <w:p w:rsidR="001465A6" w:rsidRPr="00A04607" w:rsidRDefault="001465A6" w:rsidP="001465A6">
      <w:pPr>
        <w:spacing w:line="204" w:lineRule="auto"/>
        <w:rPr>
          <w:b/>
          <w:bCs/>
          <w:sz w:val="28"/>
          <w:szCs w:val="28"/>
          <w:rtl/>
        </w:rPr>
      </w:pPr>
      <w:r w:rsidRPr="00A04607">
        <w:rPr>
          <w:rFonts w:hint="cs"/>
          <w:b/>
          <w:bCs/>
          <w:sz w:val="28"/>
          <w:szCs w:val="28"/>
          <w:rtl/>
        </w:rPr>
        <w:t>أهداف الدراسة:</w:t>
      </w:r>
    </w:p>
    <w:p w:rsidR="001465A6" w:rsidRPr="00A04607" w:rsidRDefault="001465A6" w:rsidP="001465A6">
      <w:pPr>
        <w:spacing w:line="204" w:lineRule="auto"/>
        <w:ind w:left="720"/>
        <w:rPr>
          <w:rFonts w:hint="cs"/>
          <w:sz w:val="28"/>
          <w:szCs w:val="28"/>
          <w:rtl/>
        </w:rPr>
      </w:pPr>
      <w:r w:rsidRPr="00A04607">
        <w:rPr>
          <w:rFonts w:hint="cs"/>
          <w:sz w:val="28"/>
          <w:szCs w:val="28"/>
          <w:rtl/>
        </w:rPr>
        <w:t xml:space="preserve">التعرف على أبعاد الشخصية الشريرة من النواحي الجسمية، والاجتماعية، والنفسية في النصوص التي قدمت على خشبة المسرح المدرسي </w:t>
      </w:r>
      <w:r>
        <w:rPr>
          <w:rFonts w:hint="cs"/>
          <w:sz w:val="28"/>
          <w:szCs w:val="28"/>
          <w:rtl/>
        </w:rPr>
        <w:t xml:space="preserve">وكذلك المقارنة بين ما يقدم بالفعل من نماذج للشخصيات الشريرة في العروض المسرحية، وبين ما يفضله الطفل </w:t>
      </w:r>
    </w:p>
    <w:p w:rsidR="001465A6" w:rsidRPr="00A04607" w:rsidRDefault="001465A6" w:rsidP="001465A6">
      <w:pPr>
        <w:spacing w:line="204" w:lineRule="auto"/>
        <w:rPr>
          <w:b/>
          <w:bCs/>
          <w:sz w:val="28"/>
          <w:szCs w:val="28"/>
          <w:rtl/>
        </w:rPr>
      </w:pPr>
      <w:r w:rsidRPr="00A04607">
        <w:rPr>
          <w:rFonts w:hint="cs"/>
          <w:b/>
          <w:bCs/>
          <w:sz w:val="28"/>
          <w:szCs w:val="28"/>
          <w:rtl/>
        </w:rPr>
        <w:t>منهج الدراسة:</w:t>
      </w:r>
    </w:p>
    <w:p w:rsidR="001465A6" w:rsidRPr="00A04607" w:rsidRDefault="001465A6" w:rsidP="001465A6">
      <w:pPr>
        <w:spacing w:line="204" w:lineRule="auto"/>
        <w:ind w:left="720"/>
        <w:rPr>
          <w:sz w:val="28"/>
          <w:szCs w:val="28"/>
          <w:rtl/>
        </w:rPr>
      </w:pPr>
      <w:r w:rsidRPr="00A04607">
        <w:rPr>
          <w:rFonts w:hint="cs"/>
          <w:sz w:val="28"/>
          <w:szCs w:val="28"/>
          <w:rtl/>
        </w:rPr>
        <w:t xml:space="preserve">اعتمدت الدراسة على المنهج الوصفي التحليلي وتحليل المحتوى لمجموعة عمدية من النصوص المسرحية التي قدمت على خشبة المسرح </w:t>
      </w:r>
      <w:r>
        <w:rPr>
          <w:rFonts w:hint="cs"/>
          <w:sz w:val="28"/>
          <w:szCs w:val="28"/>
          <w:rtl/>
        </w:rPr>
        <w:t>المدرسي</w:t>
      </w:r>
      <w:r w:rsidRPr="00A04607">
        <w:rPr>
          <w:rFonts w:hint="cs"/>
          <w:sz w:val="28"/>
          <w:szCs w:val="28"/>
          <w:rtl/>
        </w:rPr>
        <w:t xml:space="preserve"> لتلاميذ الحلقة الأولى من التعليم الأساسي من سن 9-12 عام مرحلة الطفولة المتأخرة في الفترة من 2012 إلى 2013م.</w:t>
      </w:r>
    </w:p>
    <w:p w:rsidR="001465A6" w:rsidRPr="00A04607" w:rsidRDefault="001465A6" w:rsidP="001465A6">
      <w:pPr>
        <w:spacing w:line="204" w:lineRule="auto"/>
        <w:rPr>
          <w:b/>
          <w:bCs/>
          <w:sz w:val="28"/>
          <w:szCs w:val="28"/>
          <w:rtl/>
        </w:rPr>
      </w:pPr>
      <w:r w:rsidRPr="00A04607">
        <w:rPr>
          <w:rFonts w:hint="cs"/>
          <w:b/>
          <w:bCs/>
          <w:sz w:val="28"/>
          <w:szCs w:val="28"/>
          <w:rtl/>
        </w:rPr>
        <w:t>نتائج الدراسة:</w:t>
      </w:r>
    </w:p>
    <w:p w:rsidR="001465A6" w:rsidRPr="00A04607" w:rsidRDefault="001465A6" w:rsidP="001465A6">
      <w:pPr>
        <w:pStyle w:val="ListParagraph"/>
        <w:numPr>
          <w:ilvl w:val="0"/>
          <w:numId w:val="2"/>
        </w:numPr>
        <w:bidi/>
        <w:spacing w:line="204" w:lineRule="auto"/>
        <w:rPr>
          <w:sz w:val="28"/>
          <w:szCs w:val="28"/>
          <w:lang w:bidi="ar-EG"/>
        </w:rPr>
      </w:pPr>
      <w:r w:rsidRPr="00A04607">
        <w:rPr>
          <w:rFonts w:hint="cs"/>
          <w:sz w:val="28"/>
          <w:szCs w:val="28"/>
          <w:rtl/>
          <w:lang w:bidi="ar-EG"/>
        </w:rPr>
        <w:t xml:space="preserve">إن الدافع إلى الانتقام </w:t>
      </w:r>
      <w:r>
        <w:rPr>
          <w:rFonts w:hint="cs"/>
          <w:sz w:val="28"/>
          <w:szCs w:val="28"/>
          <w:rtl/>
          <w:lang w:bidi="ar-EG"/>
        </w:rPr>
        <w:t>كان</w:t>
      </w:r>
      <w:r w:rsidRPr="00A04607">
        <w:rPr>
          <w:rFonts w:hint="cs"/>
          <w:sz w:val="28"/>
          <w:szCs w:val="28"/>
          <w:rtl/>
          <w:lang w:bidi="ar-EG"/>
        </w:rPr>
        <w:t xml:space="preserve"> من أبرز دوافع الشخصية الشريرة لارتكاب السلوك الشرير بنسبة (50%).</w:t>
      </w:r>
    </w:p>
    <w:p w:rsidR="001465A6" w:rsidRPr="00A04607" w:rsidRDefault="001465A6" w:rsidP="001465A6">
      <w:pPr>
        <w:pStyle w:val="ListParagraph"/>
        <w:numPr>
          <w:ilvl w:val="0"/>
          <w:numId w:val="2"/>
        </w:numPr>
        <w:bidi/>
        <w:spacing w:line="204" w:lineRule="auto"/>
        <w:rPr>
          <w:sz w:val="28"/>
          <w:szCs w:val="28"/>
          <w:lang w:bidi="ar-EG"/>
        </w:rPr>
      </w:pPr>
      <w:r w:rsidRPr="00A04607">
        <w:rPr>
          <w:rFonts w:hint="cs"/>
          <w:sz w:val="28"/>
          <w:szCs w:val="28"/>
          <w:rtl/>
          <w:lang w:bidi="ar-EG"/>
        </w:rPr>
        <w:t>إن الإنسان كان هو المتضرر الأول من السلوك الشرير أو هو الذي وقع عليه الشر بنسبة (</w:t>
      </w:r>
      <w:r>
        <w:rPr>
          <w:rFonts w:hint="cs"/>
          <w:sz w:val="28"/>
          <w:szCs w:val="28"/>
          <w:rtl/>
          <w:lang w:bidi="ar-EG"/>
        </w:rPr>
        <w:t xml:space="preserve">90.91%) يليها الحيوان بنسبة (9.09%) </w:t>
      </w:r>
    </w:p>
    <w:p w:rsidR="001465A6" w:rsidRPr="00A04607" w:rsidRDefault="001465A6" w:rsidP="001465A6">
      <w:pPr>
        <w:pStyle w:val="ListParagraph"/>
        <w:numPr>
          <w:ilvl w:val="0"/>
          <w:numId w:val="2"/>
        </w:numPr>
        <w:tabs>
          <w:tab w:val="right" w:pos="105"/>
        </w:tabs>
        <w:bidi/>
        <w:spacing w:line="204" w:lineRule="auto"/>
        <w:rPr>
          <w:sz w:val="28"/>
          <w:szCs w:val="28"/>
          <w:rtl/>
          <w:lang w:bidi="ar-EG"/>
        </w:rPr>
      </w:pPr>
      <w:r w:rsidRPr="00A04607">
        <w:rPr>
          <w:rFonts w:hint="cs"/>
          <w:sz w:val="28"/>
          <w:szCs w:val="28"/>
          <w:rtl/>
          <w:lang w:bidi="ar-EG"/>
        </w:rPr>
        <w:t xml:space="preserve">إن السلوك الشرير </w:t>
      </w:r>
      <w:r>
        <w:rPr>
          <w:rFonts w:hint="cs"/>
          <w:sz w:val="28"/>
          <w:szCs w:val="28"/>
          <w:rtl/>
          <w:lang w:bidi="ar-EG"/>
        </w:rPr>
        <w:t>لم يتلازم معه</w:t>
      </w:r>
      <w:r w:rsidRPr="00A04607">
        <w:rPr>
          <w:rFonts w:hint="cs"/>
          <w:sz w:val="28"/>
          <w:szCs w:val="28"/>
          <w:rtl/>
          <w:lang w:bidi="ar-EG"/>
        </w:rPr>
        <w:t xml:space="preserve"> أي عقاب بنسبة (6</w:t>
      </w:r>
      <w:r>
        <w:rPr>
          <w:rFonts w:hint="cs"/>
          <w:sz w:val="28"/>
          <w:szCs w:val="28"/>
          <w:rtl/>
          <w:lang w:bidi="ar-EG"/>
        </w:rPr>
        <w:t xml:space="preserve">1.53%) من السلطة الحاكمة </w:t>
      </w:r>
    </w:p>
    <w:p w:rsidR="001465A6" w:rsidRPr="00A04607" w:rsidRDefault="001465A6" w:rsidP="001465A6">
      <w:pPr>
        <w:spacing w:line="204" w:lineRule="auto"/>
        <w:rPr>
          <w:b/>
          <w:bCs/>
          <w:sz w:val="28"/>
          <w:szCs w:val="28"/>
          <w:rtl/>
        </w:rPr>
      </w:pPr>
      <w:r w:rsidRPr="00A04607">
        <w:rPr>
          <w:rFonts w:hint="cs"/>
          <w:b/>
          <w:bCs/>
          <w:sz w:val="28"/>
          <w:szCs w:val="28"/>
          <w:rtl/>
        </w:rPr>
        <w:t>الكلمات المفتاحية:</w:t>
      </w:r>
    </w:p>
    <w:p w:rsidR="001465A6" w:rsidRPr="00A04607" w:rsidRDefault="001465A6" w:rsidP="001465A6">
      <w:pPr>
        <w:pStyle w:val="ListParagraph"/>
        <w:numPr>
          <w:ilvl w:val="0"/>
          <w:numId w:val="2"/>
        </w:numPr>
        <w:bidi/>
        <w:spacing w:line="204" w:lineRule="auto"/>
        <w:rPr>
          <w:sz w:val="28"/>
          <w:szCs w:val="28"/>
          <w:lang w:bidi="ar-EG"/>
        </w:rPr>
      </w:pPr>
      <w:r w:rsidRPr="00A04607">
        <w:rPr>
          <w:rFonts w:hint="cs"/>
          <w:sz w:val="28"/>
          <w:szCs w:val="28"/>
          <w:rtl/>
          <w:lang w:bidi="ar-EG"/>
        </w:rPr>
        <w:t xml:space="preserve">المسرح المدرسي </w:t>
      </w:r>
      <w:r w:rsidRPr="00A04607">
        <w:rPr>
          <w:sz w:val="28"/>
          <w:szCs w:val="28"/>
          <w:lang w:bidi="ar-EG"/>
        </w:rPr>
        <w:t>School theatre</w:t>
      </w:r>
      <w:r w:rsidRPr="00A04607">
        <w:rPr>
          <w:rFonts w:hint="cs"/>
          <w:sz w:val="28"/>
          <w:szCs w:val="28"/>
          <w:rtl/>
          <w:lang w:bidi="ar-EG"/>
        </w:rPr>
        <w:t>.</w:t>
      </w:r>
    </w:p>
    <w:p w:rsidR="001465A6" w:rsidRPr="00A04607" w:rsidRDefault="001465A6" w:rsidP="001465A6">
      <w:pPr>
        <w:pStyle w:val="ListParagraph"/>
        <w:numPr>
          <w:ilvl w:val="0"/>
          <w:numId w:val="2"/>
        </w:numPr>
        <w:bidi/>
        <w:spacing w:line="204" w:lineRule="auto"/>
        <w:rPr>
          <w:sz w:val="28"/>
          <w:szCs w:val="28"/>
          <w:rtl/>
          <w:lang w:bidi="ar-EG"/>
        </w:rPr>
      </w:pPr>
      <w:r w:rsidRPr="00A04607">
        <w:rPr>
          <w:rFonts w:hint="cs"/>
          <w:sz w:val="28"/>
          <w:szCs w:val="28"/>
          <w:rtl/>
          <w:lang w:bidi="ar-EG"/>
        </w:rPr>
        <w:t xml:space="preserve">الشخصية الشريرة </w:t>
      </w:r>
      <w:r w:rsidRPr="00A04607">
        <w:rPr>
          <w:sz w:val="28"/>
          <w:szCs w:val="28"/>
          <w:lang w:bidi="ar-EG"/>
        </w:rPr>
        <w:t>Villain character</w:t>
      </w:r>
      <w:r w:rsidRPr="00A04607">
        <w:rPr>
          <w:rFonts w:hint="cs"/>
          <w:sz w:val="28"/>
          <w:szCs w:val="28"/>
          <w:rtl/>
          <w:lang w:bidi="ar-EG"/>
        </w:rPr>
        <w:t xml:space="preserve">. </w:t>
      </w:r>
    </w:p>
    <w:p w:rsidR="001465A6" w:rsidRDefault="001465A6" w:rsidP="001465A6">
      <w:pPr>
        <w:spacing w:line="204" w:lineRule="auto"/>
      </w:pPr>
    </w:p>
    <w:p w:rsidR="003760F5" w:rsidRPr="001465A6" w:rsidRDefault="003760F5" w:rsidP="001465A6">
      <w:bookmarkStart w:id="0" w:name="_GoBack"/>
      <w:bookmarkEnd w:id="0"/>
    </w:p>
    <w:sectPr w:rsidR="003760F5" w:rsidRPr="001465A6" w:rsidSect="00435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F3A43"/>
    <w:multiLevelType w:val="hybridMultilevel"/>
    <w:tmpl w:val="D57A4484"/>
    <w:lvl w:ilvl="0" w:tplc="FA6244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286DCC"/>
    <w:multiLevelType w:val="hybridMultilevel"/>
    <w:tmpl w:val="6F7ECB20"/>
    <w:lvl w:ilvl="0" w:tplc="47501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8E"/>
    <w:rsid w:val="001465A6"/>
    <w:rsid w:val="0031408E"/>
    <w:rsid w:val="003760F5"/>
    <w:rsid w:val="0043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9341DA-E204-44D9-B8A5-1F670213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08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465A6"/>
    <w:pPr>
      <w:bidi w:val="0"/>
      <w:ind w:left="720"/>
      <w:contextualSpacing/>
      <w:jc w:val="lowKashida"/>
    </w:pPr>
    <w:rPr>
      <w:rFonts w:eastAsia="Calibri" w:cs="Simplified Arabic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ffff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ايهاب سعد</dc:creator>
  <cp:keywords/>
  <dc:description/>
  <cp:lastModifiedBy>ايهاب سعد</cp:lastModifiedBy>
  <cp:revision>2</cp:revision>
  <dcterms:created xsi:type="dcterms:W3CDTF">2016-03-22T09:02:00Z</dcterms:created>
  <dcterms:modified xsi:type="dcterms:W3CDTF">2016-03-22T09:02:00Z</dcterms:modified>
</cp:coreProperties>
</file>